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35AC" w14:textId="42933983" w:rsidR="00C365F8" w:rsidRDefault="004361B1" w:rsidP="00D46285">
      <w:pPr>
        <w:pStyle w:val="Heading1"/>
        <w:ind w:right="545"/>
        <w:rPr>
          <w:color w:val="2E74B5" w:themeColor="accent5" w:themeShade="BF"/>
        </w:rPr>
      </w:pPr>
      <w:r w:rsidRPr="00E15B53">
        <w:rPr>
          <w:color w:val="2E74B5" w:themeColor="accent5" w:themeShade="BF"/>
        </w:rPr>
        <w:t xml:space="preserve">Agenda Item </w:t>
      </w:r>
      <w:r w:rsidR="00C008C9">
        <w:rPr>
          <w:color w:val="2E74B5" w:themeColor="accent5" w:themeShade="BF"/>
        </w:rPr>
        <w:t>5</w:t>
      </w:r>
      <w:r w:rsidR="001F22E5">
        <w:rPr>
          <w:color w:val="2E74B5" w:themeColor="accent5" w:themeShade="BF"/>
        </w:rPr>
        <w:t>:</w:t>
      </w:r>
      <w:r w:rsidR="007B5355" w:rsidRPr="00E15B53">
        <w:rPr>
          <w:color w:val="2E74B5" w:themeColor="accent5" w:themeShade="BF"/>
        </w:rPr>
        <w:t xml:space="preserve"> </w:t>
      </w:r>
      <w:r w:rsidRPr="00E15B53">
        <w:rPr>
          <w:color w:val="2E74B5" w:themeColor="accent5" w:themeShade="BF"/>
        </w:rPr>
        <w:t xml:space="preserve"> </w:t>
      </w:r>
      <w:r w:rsidR="00C008C9">
        <w:rPr>
          <w:color w:val="2E74B5" w:themeColor="accent5" w:themeShade="BF"/>
        </w:rPr>
        <w:t>Discussion on Action Request Register</w:t>
      </w:r>
    </w:p>
    <w:p w14:paraId="25121F92" w14:textId="43FB61AA" w:rsidR="00D46285" w:rsidRDefault="000219FD" w:rsidP="000219FD">
      <w:pPr>
        <w:pStyle w:val="Heading2"/>
        <w:rPr>
          <w:b w:val="0"/>
          <w:color w:val="000000" w:themeColor="text1"/>
          <w:sz w:val="20"/>
          <w:szCs w:val="20"/>
        </w:rPr>
      </w:pPr>
      <w:r w:rsidRPr="00A326CA">
        <w:rPr>
          <w:sz w:val="20"/>
          <w:szCs w:val="20"/>
        </w:rPr>
        <w:t xml:space="preserve">Note: </w:t>
      </w:r>
      <w:r w:rsidRPr="00A326CA">
        <w:rPr>
          <w:b w:val="0"/>
          <w:color w:val="000000" w:themeColor="text1"/>
          <w:sz w:val="20"/>
          <w:szCs w:val="20"/>
        </w:rPr>
        <w:t>This briefing has been prepared by ICANN support staff.</w:t>
      </w:r>
    </w:p>
    <w:p w14:paraId="1DDE84B0" w14:textId="77777777" w:rsidR="000219FD" w:rsidRPr="000219FD" w:rsidRDefault="000219FD" w:rsidP="000219FD">
      <w:pPr>
        <w:pStyle w:val="BodyText"/>
        <w:rPr>
          <w:lang w:val="en-AU"/>
        </w:rPr>
      </w:pPr>
      <w:bookmarkStart w:id="0" w:name="_GoBack"/>
      <w:bookmarkEnd w:id="0"/>
    </w:p>
    <w:p w14:paraId="3E153AFD" w14:textId="22C4B596" w:rsidR="00EA4C85" w:rsidRPr="00EA4C85" w:rsidRDefault="004361B1" w:rsidP="00EA4C85">
      <w:pPr>
        <w:pStyle w:val="Heading2"/>
      </w:pPr>
      <w:r w:rsidRPr="00EA4C85">
        <w:t>Issue</w:t>
      </w:r>
      <w:r w:rsidR="00F72B79" w:rsidRPr="00EA4C85">
        <w:t>:</w:t>
      </w:r>
    </w:p>
    <w:p w14:paraId="02CB1543" w14:textId="77777777" w:rsidR="000219FD" w:rsidRDefault="00E15B53" w:rsidP="00D46285">
      <w:pPr>
        <w:pStyle w:val="Heading2"/>
      </w:pPr>
      <w:r>
        <w:tab/>
      </w:r>
    </w:p>
    <w:p w14:paraId="1FFD7AAC" w14:textId="7A50A4B1" w:rsidR="004134C7" w:rsidRPr="00D46285" w:rsidRDefault="00D46285" w:rsidP="00D46285">
      <w:pPr>
        <w:pStyle w:val="Heading2"/>
        <w:rPr>
          <w:b w:val="0"/>
          <w:color w:val="000000" w:themeColor="text1"/>
          <w:sz w:val="20"/>
          <w:szCs w:val="20"/>
        </w:rPr>
      </w:pPr>
      <w:r>
        <w:rPr>
          <w:b w:val="0"/>
          <w:color w:val="000000" w:themeColor="text1"/>
          <w:sz w:val="20"/>
          <w:szCs w:val="20"/>
        </w:rPr>
        <w:t>This session is an opportunity for the GAC to review the status of the ICANN Action Request Register</w:t>
      </w:r>
      <w:r w:rsidR="000219FD">
        <w:rPr>
          <w:b w:val="0"/>
          <w:color w:val="000000" w:themeColor="text1"/>
          <w:sz w:val="20"/>
          <w:szCs w:val="20"/>
        </w:rPr>
        <w:t xml:space="preserve"> (ARR)</w:t>
      </w:r>
      <w:r>
        <w:rPr>
          <w:b w:val="0"/>
          <w:color w:val="000000" w:themeColor="text1"/>
          <w:sz w:val="20"/>
          <w:szCs w:val="20"/>
        </w:rPr>
        <w:t xml:space="preserve">, intended to better track GAC advice to the Board, before the </w:t>
      </w:r>
      <w:r w:rsidRPr="00D46285">
        <w:rPr>
          <w:b w:val="0"/>
          <w:color w:val="000000" w:themeColor="text1"/>
          <w:sz w:val="20"/>
          <w:szCs w:val="20"/>
        </w:rPr>
        <w:t>meeting with the Board-GAC review Implementation group (BGRI).</w:t>
      </w:r>
    </w:p>
    <w:p w14:paraId="70008BCF" w14:textId="09C02DB0" w:rsidR="00D46285" w:rsidRPr="00D46285" w:rsidRDefault="00D46285" w:rsidP="00D46285">
      <w:pPr>
        <w:pStyle w:val="BodyText"/>
        <w:rPr>
          <w:rFonts w:ascii="Century Gothic" w:hAnsi="Century Gothic"/>
          <w:sz w:val="20"/>
          <w:szCs w:val="20"/>
          <w:lang w:val="en-AU"/>
        </w:rPr>
      </w:pPr>
      <w:r w:rsidRPr="00D46285">
        <w:rPr>
          <w:rFonts w:ascii="Century Gothic" w:hAnsi="Century Gothic"/>
          <w:sz w:val="20"/>
          <w:szCs w:val="20"/>
          <w:lang w:val="en-AU"/>
        </w:rPr>
        <w:t>See briefing for Agenda Item 10.</w:t>
      </w:r>
    </w:p>
    <w:p w14:paraId="1ED86E04" w14:textId="77777777" w:rsidR="000219FD" w:rsidRPr="0093040F" w:rsidRDefault="000219FD" w:rsidP="000219FD">
      <w:pPr>
        <w:pStyle w:val="Heading2"/>
      </w:pPr>
      <w:r w:rsidRPr="0093040F">
        <w:t>Background:</w:t>
      </w:r>
    </w:p>
    <w:p w14:paraId="70016026" w14:textId="77777777" w:rsidR="000219FD" w:rsidRDefault="000219FD" w:rsidP="000219FD">
      <w:pPr>
        <w:pStyle w:val="BodyText"/>
        <w:rPr>
          <w:rFonts w:ascii="Century Gothic" w:hAnsi="Century Gothic"/>
          <w:sz w:val="20"/>
          <w:szCs w:val="20"/>
          <w:lang w:val="en-AU"/>
        </w:rPr>
      </w:pPr>
    </w:p>
    <w:p w14:paraId="7FD283B1" w14:textId="77777777" w:rsidR="000219FD" w:rsidRPr="00644800" w:rsidRDefault="000219FD" w:rsidP="000219FD">
      <w:pPr>
        <w:pStyle w:val="BodyText"/>
        <w:spacing w:line="276" w:lineRule="auto"/>
        <w:rPr>
          <w:rFonts w:ascii="Century Gothic" w:hAnsi="Century Gothic"/>
          <w:sz w:val="20"/>
          <w:szCs w:val="20"/>
        </w:rPr>
      </w:pPr>
      <w:r w:rsidRPr="00644800">
        <w:rPr>
          <w:rFonts w:ascii="Century Gothic" w:hAnsi="Century Gothic"/>
          <w:sz w:val="20"/>
          <w:szCs w:val="20"/>
        </w:rPr>
        <w:t>During the ICANN61 meeting in San Juan, the GAC conducted a meeting of the Board GAC Recommendations Implementation Group (BGRI) (</w:t>
      </w:r>
      <w:r w:rsidRPr="00644800">
        <w:rPr>
          <w:rFonts w:ascii="Century Gothic" w:hAnsi="Century Gothic"/>
          <w:sz w:val="20"/>
          <w:szCs w:val="20"/>
          <w:u w:val="single"/>
        </w:rPr>
        <w:t>see</w:t>
      </w:r>
      <w:r w:rsidRPr="00644800">
        <w:rPr>
          <w:rFonts w:ascii="Century Gothic" w:hAnsi="Century Gothic"/>
          <w:sz w:val="20"/>
          <w:szCs w:val="20"/>
        </w:rPr>
        <w:t> session transcript at -</w:t>
      </w:r>
      <w:hyperlink r:id="rId7" w:history="1">
        <w:r w:rsidRPr="00644800">
          <w:rPr>
            <w:rStyle w:val="Hyperlink"/>
            <w:rFonts w:ascii="Century Gothic" w:hAnsi="Century Gothic"/>
            <w:sz w:val="20"/>
            <w:szCs w:val="20"/>
          </w:rPr>
          <w:t>https://static.ptbl.co/static/attachments/169285/1520888837.pdf?1520888837</w:t>
        </w:r>
      </w:hyperlink>
      <w:r w:rsidRPr="00644800">
        <w:rPr>
          <w:rFonts w:ascii="Century Gothic" w:hAnsi="Century Gothic"/>
          <w:sz w:val="20"/>
          <w:szCs w:val="20"/>
        </w:rPr>
        <w:t>. </w:t>
      </w:r>
    </w:p>
    <w:p w14:paraId="4A132119" w14:textId="77777777" w:rsidR="000219FD" w:rsidRPr="00644800" w:rsidRDefault="000219FD" w:rsidP="000219FD">
      <w:pPr>
        <w:pStyle w:val="BodyText"/>
        <w:spacing w:line="276" w:lineRule="auto"/>
        <w:rPr>
          <w:rFonts w:ascii="Century Gothic" w:hAnsi="Century Gothic"/>
          <w:sz w:val="20"/>
          <w:szCs w:val="20"/>
        </w:rPr>
      </w:pPr>
      <w:r w:rsidRPr="00644800">
        <w:rPr>
          <w:rFonts w:ascii="Century Gothic" w:hAnsi="Century Gothic"/>
          <w:sz w:val="20"/>
          <w:szCs w:val="20"/>
        </w:rPr>
        <w:t>Among the recommendation implementation matters discussed during the session, attendees were briefed on the latest developments regarding ICANN Org staff efforts to further operationalize the historical GAC Advice components of the ARR – a comprehensive inventory of past GAC advice stretching back to April 2013 at the ICANN46 Public Meeting in Beijing.</w:t>
      </w:r>
    </w:p>
    <w:p w14:paraId="5AE9A967" w14:textId="77777777" w:rsidR="000219FD" w:rsidRPr="00644800" w:rsidRDefault="000219FD" w:rsidP="000219FD">
      <w:pPr>
        <w:pStyle w:val="BodyText"/>
        <w:spacing w:line="276" w:lineRule="auto"/>
        <w:rPr>
          <w:rFonts w:ascii="Century Gothic" w:hAnsi="Century Gothic"/>
          <w:sz w:val="20"/>
          <w:szCs w:val="20"/>
        </w:rPr>
      </w:pPr>
      <w:r w:rsidRPr="00644800">
        <w:rPr>
          <w:rFonts w:ascii="Century Gothic" w:hAnsi="Century Gothic"/>
          <w:sz w:val="20"/>
          <w:szCs w:val="20"/>
        </w:rPr>
        <w:t>The current ARR inventory is comprised of 162 individual pieces of GAC advice (up through the ICANN60 Communiqué) of which 26 pieces of advice are still considered to be in either an “Evaluate and Consider” or “Implementation” mode. The other 136 pieces of advice are considered to be in a “close request” mode – a phase in which ICANN org has determined that the advice given has been implemented and is “complete”.</w:t>
      </w:r>
    </w:p>
    <w:p w14:paraId="5114AEC8" w14:textId="77777777" w:rsidR="000219FD" w:rsidRDefault="000219FD" w:rsidP="000219FD">
      <w:pPr>
        <w:pStyle w:val="BodyText"/>
        <w:spacing w:after="0" w:line="276" w:lineRule="auto"/>
        <w:rPr>
          <w:rFonts w:ascii="Century Gothic" w:hAnsi="Century Gothic"/>
          <w:sz w:val="20"/>
          <w:szCs w:val="20"/>
        </w:rPr>
      </w:pPr>
      <w:r w:rsidRPr="00644800">
        <w:rPr>
          <w:rFonts w:ascii="Century Gothic" w:hAnsi="Century Gothic"/>
          <w:sz w:val="20"/>
          <w:szCs w:val="20"/>
        </w:rPr>
        <w:t>At ICANN 60 it was agreed that an approach should be established to confirm that the GAC agrees with the current ICANN Org assessment of the previous 136 items of “closed” advice. At the moment, the process for that historic assessment is not clear. Additionally, there is the need to establish an ongoing confirmation process for the consideration of all future GAC advice.</w:t>
      </w:r>
    </w:p>
    <w:p w14:paraId="21820ABF" w14:textId="77777777" w:rsidR="000219FD" w:rsidRDefault="000219FD" w:rsidP="000219FD">
      <w:pPr>
        <w:pStyle w:val="BodyText"/>
        <w:spacing w:line="276" w:lineRule="auto"/>
        <w:rPr>
          <w:rFonts w:ascii="Century Gothic" w:hAnsi="Century Gothic"/>
          <w:sz w:val="20"/>
          <w:szCs w:val="20"/>
        </w:rPr>
      </w:pPr>
    </w:p>
    <w:p w14:paraId="14E2FDEF" w14:textId="77777777" w:rsidR="000219FD" w:rsidRDefault="000219FD" w:rsidP="000219FD">
      <w:pPr>
        <w:pStyle w:val="Heading2"/>
      </w:pPr>
      <w:r>
        <w:t>Next Steps</w:t>
      </w:r>
      <w:r w:rsidRPr="00EA4C85">
        <w:t>:</w:t>
      </w:r>
    </w:p>
    <w:p w14:paraId="6334644F" w14:textId="77777777" w:rsidR="000219FD" w:rsidRDefault="000219FD" w:rsidP="000219FD">
      <w:pPr>
        <w:rPr>
          <w:lang w:val="en-AU"/>
        </w:rPr>
      </w:pPr>
    </w:p>
    <w:p w14:paraId="6BF90429"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b/>
          <w:bCs/>
          <w:color w:val="000000"/>
          <w:sz w:val="20"/>
          <w:szCs w:val="20"/>
          <w:u w:val="single"/>
        </w:rPr>
        <w:t>Confirming the Status of Past Advice:</w:t>
      </w:r>
      <w:r w:rsidRPr="0093040F">
        <w:rPr>
          <w:rFonts w:ascii="Century Gothic" w:hAnsi="Century Gothic" w:cs="Calibri"/>
          <w:b/>
          <w:bCs/>
          <w:color w:val="000000"/>
          <w:sz w:val="20"/>
          <w:szCs w:val="20"/>
        </w:rPr>
        <w:t xml:space="preserve">  </w:t>
      </w:r>
      <w:r w:rsidRPr="0093040F">
        <w:rPr>
          <w:rFonts w:ascii="Century Gothic" w:hAnsi="Century Gothic" w:cs="Calibri"/>
          <w:bCs/>
          <w:color w:val="000000"/>
          <w:sz w:val="20"/>
          <w:szCs w:val="20"/>
        </w:rPr>
        <w:t xml:space="preserve">Accompanying this session agenda on the GAC web site (see - </w:t>
      </w:r>
      <w:hyperlink r:id="rId8" w:history="1">
        <w:r w:rsidRPr="0093040F">
          <w:rPr>
            <w:rStyle w:val="Hyperlink"/>
            <w:rFonts w:ascii="Century Gothic" w:hAnsi="Century Gothic" w:cs="Calibri"/>
            <w:bCs/>
            <w:sz w:val="20"/>
            <w:szCs w:val="20"/>
          </w:rPr>
          <w:t>https://gac.icann.org/agendas/icann62-panama-city-agenda</w:t>
        </w:r>
      </w:hyperlink>
      <w:r w:rsidRPr="0093040F">
        <w:rPr>
          <w:rFonts w:ascii="Century Gothic" w:hAnsi="Century Gothic" w:cs="Calibri"/>
          <w:bCs/>
          <w:color w:val="000000"/>
          <w:sz w:val="20"/>
          <w:szCs w:val="20"/>
        </w:rPr>
        <w:t xml:space="preserve">) is </w:t>
      </w:r>
      <w:r w:rsidRPr="0093040F">
        <w:rPr>
          <w:rFonts w:ascii="Century Gothic" w:hAnsi="Century Gothic" w:cs="Calibri"/>
          <w:color w:val="000000"/>
          <w:sz w:val="20"/>
          <w:szCs w:val="20"/>
        </w:rPr>
        <w:t>the</w:t>
      </w:r>
      <w:r>
        <w:rPr>
          <w:rFonts w:ascii="Century Gothic" w:hAnsi="Century Gothic" w:cs="Calibri"/>
          <w:color w:val="000000"/>
          <w:sz w:val="20"/>
          <w:szCs w:val="20"/>
        </w:rPr>
        <w:t xml:space="preserve"> latest ARR compilation of th</w:t>
      </w:r>
      <w:r w:rsidRPr="0093040F">
        <w:rPr>
          <w:rFonts w:ascii="Century Gothic" w:hAnsi="Century Gothic" w:cs="Calibri"/>
          <w:color w:val="000000"/>
          <w:sz w:val="20"/>
          <w:szCs w:val="20"/>
        </w:rPr>
        <w:t>e 162 pieces of advice arrayed over 44 spreadsheet pages. As noted in San Juan (and previously discussed in Abu Dhabi at ICANN60), one of the final steps to operationalizing the database - before it is formally posted on-line and regularly updated in the future - is for the GAC (“the advice provider”) to confirm the determinations and status that ICANN Org has made about the various pieces of advice.</w:t>
      </w:r>
    </w:p>
    <w:p w14:paraId="6248EDD8" w14:textId="079567EA"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color w:val="000000"/>
          <w:sz w:val="20"/>
          <w:szCs w:val="20"/>
        </w:rPr>
        <w:lastRenderedPageBreak/>
        <w:t> GAC members have previously discussed what could be done to confirm the ICANN Org’s characterization of the implementation of the committee’s past advice, but no final determination has been made as to the appropriate next steps.</w:t>
      </w:r>
    </w:p>
    <w:p w14:paraId="22D97128"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color w:val="000000"/>
          <w:sz w:val="20"/>
          <w:szCs w:val="20"/>
        </w:rPr>
        <w:t> </w:t>
      </w:r>
    </w:p>
    <w:p w14:paraId="0AD6BE69"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color w:val="000000"/>
          <w:sz w:val="20"/>
          <w:szCs w:val="20"/>
        </w:rPr>
        <w:t>The options for proceeding with an assessment of the historical advice would appear to include:</w:t>
      </w:r>
    </w:p>
    <w:p w14:paraId="6B53826E"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color w:val="000000"/>
          <w:sz w:val="20"/>
          <w:szCs w:val="20"/>
        </w:rPr>
        <w:t> </w:t>
      </w:r>
    </w:p>
    <w:p w14:paraId="7DBFB051" w14:textId="77777777" w:rsidR="000219FD" w:rsidRPr="0093040F" w:rsidRDefault="000219FD" w:rsidP="000219FD">
      <w:pPr>
        <w:spacing w:line="276" w:lineRule="auto"/>
        <w:ind w:left="720"/>
        <w:rPr>
          <w:rFonts w:ascii="Century Gothic" w:hAnsi="Century Gothic" w:cs="Calibri"/>
          <w:color w:val="000000"/>
          <w:sz w:val="20"/>
          <w:szCs w:val="20"/>
        </w:rPr>
      </w:pPr>
      <w:r w:rsidRPr="0093040F">
        <w:rPr>
          <w:rFonts w:ascii="Century Gothic" w:hAnsi="Century Gothic" w:cs="Calibri"/>
          <w:color w:val="000000"/>
          <w:sz w:val="20"/>
          <w:szCs w:val="20"/>
        </w:rPr>
        <w:t>(1) a complete review of all 162 pieces of advice;</w:t>
      </w:r>
    </w:p>
    <w:p w14:paraId="3DDC0518" w14:textId="77777777" w:rsidR="000219FD" w:rsidRPr="0093040F" w:rsidRDefault="000219FD" w:rsidP="000219FD">
      <w:pPr>
        <w:spacing w:line="276" w:lineRule="auto"/>
        <w:ind w:left="720"/>
        <w:rPr>
          <w:rFonts w:ascii="Century Gothic" w:hAnsi="Century Gothic" w:cs="Calibri"/>
          <w:color w:val="000000"/>
          <w:sz w:val="20"/>
          <w:szCs w:val="20"/>
        </w:rPr>
      </w:pPr>
      <w:r w:rsidRPr="0093040F">
        <w:rPr>
          <w:rFonts w:ascii="Century Gothic" w:hAnsi="Century Gothic" w:cs="Calibri"/>
          <w:color w:val="000000"/>
          <w:sz w:val="20"/>
          <w:szCs w:val="20"/>
        </w:rPr>
        <w:t>(2) an effort to “confirm” only the 136 advice pieces that the ICANN Org characterizes as “closed”;</w:t>
      </w:r>
    </w:p>
    <w:p w14:paraId="3CBC3253" w14:textId="77777777" w:rsidR="000219FD" w:rsidRPr="0093040F" w:rsidRDefault="000219FD" w:rsidP="000219FD">
      <w:pPr>
        <w:spacing w:line="276" w:lineRule="auto"/>
        <w:ind w:left="720"/>
        <w:rPr>
          <w:rFonts w:ascii="Century Gothic" w:hAnsi="Century Gothic" w:cs="Calibri"/>
          <w:color w:val="000000"/>
          <w:sz w:val="20"/>
          <w:szCs w:val="20"/>
        </w:rPr>
      </w:pPr>
      <w:r w:rsidRPr="0093040F">
        <w:rPr>
          <w:rFonts w:ascii="Century Gothic" w:hAnsi="Century Gothic" w:cs="Calibri"/>
          <w:color w:val="000000"/>
          <w:sz w:val="20"/>
          <w:szCs w:val="20"/>
        </w:rPr>
        <w:t>(3) a more limited review of just those pieces of advice ICANN Org characterizes as either in an “Evaluate and Consider” or “Implementation” mode; or</w:t>
      </w:r>
    </w:p>
    <w:p w14:paraId="1AE3745E" w14:textId="77777777" w:rsidR="000219FD" w:rsidRPr="0093040F" w:rsidRDefault="000219FD" w:rsidP="000219FD">
      <w:pPr>
        <w:spacing w:line="276" w:lineRule="auto"/>
        <w:ind w:left="720"/>
        <w:rPr>
          <w:rFonts w:ascii="Century Gothic" w:hAnsi="Century Gothic" w:cs="Calibri"/>
          <w:color w:val="000000"/>
          <w:sz w:val="20"/>
          <w:szCs w:val="20"/>
        </w:rPr>
      </w:pPr>
      <w:r w:rsidRPr="0093040F">
        <w:rPr>
          <w:rFonts w:ascii="Century Gothic" w:hAnsi="Century Gothic" w:cs="Calibri"/>
          <w:color w:val="000000"/>
          <w:sz w:val="20"/>
          <w:szCs w:val="20"/>
        </w:rPr>
        <w:t>(4) some other approach.</w:t>
      </w:r>
    </w:p>
    <w:p w14:paraId="22F4084D"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color w:val="000000"/>
          <w:sz w:val="20"/>
          <w:szCs w:val="20"/>
        </w:rPr>
        <w:t>  </w:t>
      </w:r>
    </w:p>
    <w:p w14:paraId="06EF36C3" w14:textId="77777777" w:rsidR="000219FD" w:rsidRPr="0093040F" w:rsidRDefault="000219FD" w:rsidP="000219FD">
      <w:pPr>
        <w:spacing w:line="276" w:lineRule="auto"/>
        <w:rPr>
          <w:rFonts w:ascii="Century Gothic" w:hAnsi="Century Gothic" w:cs="Calibri"/>
          <w:color w:val="000000"/>
          <w:sz w:val="20"/>
          <w:szCs w:val="20"/>
        </w:rPr>
      </w:pPr>
      <w:r w:rsidRPr="0093040F">
        <w:rPr>
          <w:rFonts w:ascii="Century Gothic" w:hAnsi="Century Gothic" w:cs="Calibri"/>
          <w:b/>
          <w:color w:val="000000"/>
          <w:sz w:val="20"/>
          <w:szCs w:val="20"/>
          <w:u w:val="single"/>
        </w:rPr>
        <w:t>Session Expectations:</w:t>
      </w:r>
      <w:r>
        <w:rPr>
          <w:rFonts w:ascii="Century Gothic" w:hAnsi="Century Gothic" w:cs="Calibri"/>
          <w:color w:val="000000"/>
          <w:sz w:val="20"/>
          <w:szCs w:val="20"/>
        </w:rPr>
        <w:t xml:space="preserve">   During this session, it is hoped that GAC members will provide input on the four potential options and </w:t>
      </w:r>
      <w:proofErr w:type="spellStart"/>
      <w:r>
        <w:rPr>
          <w:rFonts w:ascii="Century Gothic" w:hAnsi="Century Gothic" w:cs="Calibri"/>
          <w:color w:val="000000"/>
          <w:sz w:val="20"/>
          <w:szCs w:val="20"/>
        </w:rPr>
        <w:t>pshare</w:t>
      </w:r>
      <w:proofErr w:type="spellEnd"/>
      <w:r w:rsidRPr="0093040F">
        <w:rPr>
          <w:rFonts w:ascii="Century Gothic" w:hAnsi="Century Gothic" w:cs="Calibri"/>
          <w:color w:val="000000"/>
          <w:sz w:val="20"/>
          <w:szCs w:val="20"/>
        </w:rPr>
        <w:t xml:space="preserve"> any ideas, suggestions or recommendations for how the GAC could most effectively conduct a review of the existing inventory of past advice.  </w:t>
      </w:r>
    </w:p>
    <w:p w14:paraId="38F89298" w14:textId="40CE8FA5" w:rsidR="004361B1" w:rsidRDefault="004361B1" w:rsidP="004361B1">
      <w:pPr>
        <w:pStyle w:val="BodyText"/>
        <w:ind w:right="545"/>
      </w:pPr>
    </w:p>
    <w:p w14:paraId="4F69831C" w14:textId="1DD79EAB" w:rsidR="00D46285" w:rsidRDefault="00D46285" w:rsidP="004361B1">
      <w:pPr>
        <w:pStyle w:val="BodyText"/>
        <w:ind w:right="545"/>
      </w:pPr>
    </w:p>
    <w:p w14:paraId="73EEC342" w14:textId="6968AD9D" w:rsidR="00D46285" w:rsidRDefault="00D46285" w:rsidP="004361B1">
      <w:pPr>
        <w:pStyle w:val="BodyText"/>
        <w:ind w:right="545"/>
      </w:pPr>
    </w:p>
    <w:p w14:paraId="6FD95419" w14:textId="77777777" w:rsidR="00D46285" w:rsidRPr="00E06DE4" w:rsidRDefault="00D46285" w:rsidP="004361B1">
      <w:pPr>
        <w:pStyle w:val="BodyText"/>
        <w:ind w:right="545"/>
      </w:pPr>
    </w:p>
    <w:p w14:paraId="331C9076" w14:textId="77777777" w:rsidR="004361B1" w:rsidRDefault="004361B1" w:rsidP="00EA4C85">
      <w:pPr>
        <w:pStyle w:val="Heading2"/>
      </w:pPr>
      <w:bookmarkStart w:id="1" w:name="_Hlk484433727"/>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4361B1" w:rsidRPr="003F43E3" w14:paraId="59EA12E9" w14:textId="77777777" w:rsidTr="00C365F8">
        <w:tc>
          <w:tcPr>
            <w:tcW w:w="3083" w:type="dxa"/>
            <w:vAlign w:val="center"/>
          </w:tcPr>
          <w:p w14:paraId="69DEBE08"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439" w:type="dxa"/>
            <w:vAlign w:val="center"/>
          </w:tcPr>
          <w:p w14:paraId="212D1778" w14:textId="2E384C29" w:rsidR="004361B1" w:rsidRPr="00EA3A02" w:rsidRDefault="00D46285" w:rsidP="003F39D5">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Action Request Register</w:t>
            </w:r>
          </w:p>
        </w:tc>
      </w:tr>
      <w:tr w:rsidR="004361B1" w:rsidRPr="003F43E3" w14:paraId="6AC7363A" w14:textId="77777777" w:rsidTr="00C365F8">
        <w:tc>
          <w:tcPr>
            <w:tcW w:w="3083" w:type="dxa"/>
            <w:vAlign w:val="center"/>
          </w:tcPr>
          <w:p w14:paraId="3BD70AEF"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439" w:type="dxa"/>
            <w:vAlign w:val="center"/>
          </w:tcPr>
          <w:p w14:paraId="43CB56A1" w14:textId="77777777" w:rsidR="004361B1" w:rsidRPr="003F43E3" w:rsidRDefault="004361B1" w:rsidP="0012301E">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4361B1" w:rsidRPr="003F43E3" w14:paraId="10FBEF62" w14:textId="77777777" w:rsidTr="00C365F8">
        <w:tc>
          <w:tcPr>
            <w:tcW w:w="3083" w:type="dxa"/>
            <w:vAlign w:val="center"/>
          </w:tcPr>
          <w:p w14:paraId="777843CE" w14:textId="77777777" w:rsidR="004361B1" w:rsidRPr="003F43E3" w:rsidRDefault="004361B1" w:rsidP="0012301E">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439" w:type="dxa"/>
            <w:vAlign w:val="center"/>
          </w:tcPr>
          <w:p w14:paraId="24CEF265" w14:textId="6D501723" w:rsidR="004361B1" w:rsidRDefault="000219FD" w:rsidP="00533EC9">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Version 1.0   7</w:t>
            </w:r>
            <w:r w:rsidR="00533EC9">
              <w:rPr>
                <w:rFonts w:ascii="Century Gothic" w:eastAsiaTheme="minorEastAsia" w:hAnsi="Century Gothic" w:cstheme="minorBidi"/>
                <w:sz w:val="20"/>
                <w:szCs w:val="20"/>
              </w:rPr>
              <w:t xml:space="preserve"> June</w:t>
            </w:r>
            <w:r w:rsidR="004361B1">
              <w:rPr>
                <w:rFonts w:ascii="Century Gothic" w:eastAsiaTheme="minorEastAsia" w:hAnsi="Century Gothic" w:cstheme="minorBidi"/>
                <w:sz w:val="20"/>
                <w:szCs w:val="20"/>
              </w:rPr>
              <w:t xml:space="preserve"> 2018</w:t>
            </w:r>
          </w:p>
          <w:p w14:paraId="5BCE3609" w14:textId="543688F0" w:rsidR="000219FD" w:rsidRPr="003F43E3" w:rsidRDefault="000219FD" w:rsidP="00533EC9">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Version 1.1   14 June 2018</w:t>
            </w:r>
          </w:p>
        </w:tc>
      </w:tr>
      <w:bookmarkEnd w:id="1"/>
    </w:tbl>
    <w:p w14:paraId="2C1B3C99" w14:textId="77777777" w:rsidR="004361B1" w:rsidRDefault="004361B1" w:rsidP="004361B1">
      <w:pPr>
        <w:pStyle w:val="BodyText"/>
        <w:ind w:right="545"/>
        <w:rPr>
          <w:color w:val="000000"/>
          <w:szCs w:val="20"/>
        </w:rPr>
      </w:pPr>
    </w:p>
    <w:p w14:paraId="2BF083B0" w14:textId="77777777" w:rsidR="004361B1" w:rsidRPr="004361B1" w:rsidRDefault="004361B1" w:rsidP="004361B1">
      <w:pPr>
        <w:pStyle w:val="BodyText"/>
        <w:rPr>
          <w:lang w:val="en-AU"/>
        </w:rPr>
      </w:pPr>
    </w:p>
    <w:sectPr w:rsidR="004361B1" w:rsidRPr="004361B1" w:rsidSect="0012301E">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6185" w14:textId="77777777" w:rsidR="003E49D9" w:rsidRDefault="003E49D9">
      <w:r>
        <w:separator/>
      </w:r>
    </w:p>
  </w:endnote>
  <w:endnote w:type="continuationSeparator" w:id="0">
    <w:p w14:paraId="601A3034" w14:textId="77777777" w:rsidR="003E49D9" w:rsidRDefault="003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1C59"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D6949" w14:textId="77777777" w:rsidR="0012301E" w:rsidRDefault="0012301E"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A4A"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046">
      <w:rPr>
        <w:rStyle w:val="PageNumber"/>
        <w:noProof/>
      </w:rPr>
      <w:t>1</w:t>
    </w:r>
    <w:r>
      <w:rPr>
        <w:rStyle w:val="PageNumber"/>
      </w:rPr>
      <w:fldChar w:fldCharType="end"/>
    </w:r>
  </w:p>
  <w:p w14:paraId="28613BF2" w14:textId="77777777" w:rsidR="0012301E" w:rsidRDefault="0012301E"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712D" w14:textId="77777777" w:rsidR="003E49D9" w:rsidRDefault="003E49D9">
      <w:r>
        <w:separator/>
      </w:r>
    </w:p>
  </w:footnote>
  <w:footnote w:type="continuationSeparator" w:id="0">
    <w:p w14:paraId="5B0F2B00" w14:textId="77777777" w:rsidR="003E49D9" w:rsidRDefault="003E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69B" w14:textId="77777777" w:rsidR="0012301E" w:rsidRDefault="004361B1">
    <w:pPr>
      <w:pStyle w:val="Header"/>
    </w:pPr>
    <w:r>
      <w:rPr>
        <w:rFonts w:asciiTheme="majorHAnsi" w:hAnsiTheme="majorHAnsi"/>
        <w:noProof/>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A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E3F46"/>
    <w:multiLevelType w:val="hybridMultilevel"/>
    <w:tmpl w:val="46B2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1"/>
    <w:rsid w:val="000219FD"/>
    <w:rsid w:val="00083781"/>
    <w:rsid w:val="000A2E18"/>
    <w:rsid w:val="000A353D"/>
    <w:rsid w:val="000F5DA7"/>
    <w:rsid w:val="001002A0"/>
    <w:rsid w:val="0010486C"/>
    <w:rsid w:val="00110CA7"/>
    <w:rsid w:val="0012301E"/>
    <w:rsid w:val="00141865"/>
    <w:rsid w:val="001F22E5"/>
    <w:rsid w:val="00285EDD"/>
    <w:rsid w:val="00291620"/>
    <w:rsid w:val="002E0299"/>
    <w:rsid w:val="00331F2A"/>
    <w:rsid w:val="00366290"/>
    <w:rsid w:val="003765A3"/>
    <w:rsid w:val="00396B5D"/>
    <w:rsid w:val="003E49D9"/>
    <w:rsid w:val="003F39D5"/>
    <w:rsid w:val="004134C7"/>
    <w:rsid w:val="004361B1"/>
    <w:rsid w:val="00492172"/>
    <w:rsid w:val="004A7363"/>
    <w:rsid w:val="004E3525"/>
    <w:rsid w:val="004E4507"/>
    <w:rsid w:val="00533EC9"/>
    <w:rsid w:val="005B60AA"/>
    <w:rsid w:val="00603893"/>
    <w:rsid w:val="00671DD7"/>
    <w:rsid w:val="006B0F0E"/>
    <w:rsid w:val="007074E5"/>
    <w:rsid w:val="00775D36"/>
    <w:rsid w:val="007B5355"/>
    <w:rsid w:val="008F68D5"/>
    <w:rsid w:val="00AC08BE"/>
    <w:rsid w:val="00B00F9D"/>
    <w:rsid w:val="00BC6D1B"/>
    <w:rsid w:val="00BE5829"/>
    <w:rsid w:val="00C008C9"/>
    <w:rsid w:val="00C0678C"/>
    <w:rsid w:val="00C365F8"/>
    <w:rsid w:val="00D46285"/>
    <w:rsid w:val="00DD157E"/>
    <w:rsid w:val="00DE28B4"/>
    <w:rsid w:val="00E01D4E"/>
    <w:rsid w:val="00E15046"/>
    <w:rsid w:val="00E15B53"/>
    <w:rsid w:val="00E6612A"/>
    <w:rsid w:val="00EA4C85"/>
    <w:rsid w:val="00F42B96"/>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cs="Times New Roman"/>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EA4C85"/>
    <w:pPr>
      <w:keepNext/>
      <w:keepLines/>
      <w:spacing w:after="0" w:line="276" w:lineRule="auto"/>
      <w:ind w:right="547"/>
      <w:outlineLvl w:val="1"/>
    </w:pPr>
    <w:rPr>
      <w:rFonts w:ascii="Century Gothic" w:eastAsia="Calibri" w:hAnsi="Century Gothic"/>
      <w:b/>
      <w:color w:val="2F5496"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B1"/>
    <w:rPr>
      <w:rFonts w:ascii="Century Gothic" w:eastAsia="Calibri" w:hAnsi="Century Gothic" w:cs="Times New Roman"/>
      <w:b/>
      <w:color w:val="00408E"/>
      <w:sz w:val="28"/>
      <w:szCs w:val="28"/>
      <w:lang w:val="en-AU"/>
    </w:rPr>
  </w:style>
  <w:style w:type="character" w:customStyle="1" w:styleId="Heading2Char">
    <w:name w:val="Heading 2 Char"/>
    <w:basedOn w:val="DefaultParagraphFont"/>
    <w:link w:val="Heading2"/>
    <w:uiPriority w:val="9"/>
    <w:rsid w:val="00EA4C85"/>
    <w:rPr>
      <w:rFonts w:ascii="Century Gothic" w:eastAsia="Calibri" w:hAnsi="Century Gothic" w:cs="Times New Roman"/>
      <w:b/>
      <w:color w:val="2F5496" w:themeColor="accent1" w:themeShade="BF"/>
      <w:lang w:val="en-AU"/>
    </w:rPr>
  </w:style>
  <w:style w:type="paragraph" w:styleId="Header">
    <w:name w:val="header"/>
    <w:basedOn w:val="Normal"/>
    <w:link w:val="HeaderCh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361B1"/>
    <w:rPr>
      <w:rFonts w:eastAsiaTheme="minorEastAsia"/>
    </w:rPr>
  </w:style>
  <w:style w:type="paragraph" w:styleId="Footer">
    <w:name w:val="footer"/>
    <w:basedOn w:val="Normal"/>
    <w:link w:val="FooterCh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61B1"/>
    <w:rPr>
      <w:rFonts w:eastAsiaTheme="minorEastAsia"/>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basedOn w:val="DefaultParagraphFont"/>
    <w:link w:val="BodyText"/>
    <w:uiPriority w:val="99"/>
    <w:rsid w:val="004361B1"/>
    <w:rPr>
      <w:rFonts w:ascii="Times New Roman" w:eastAsia="Times New Roman" w:hAnsi="Times New Roman" w:cs="Times New Roman"/>
    </w:rPr>
  </w:style>
  <w:style w:type="paragraph" w:styleId="ListParagraph">
    <w:name w:val="List Paragraph"/>
    <w:basedOn w:val="Normal"/>
    <w:uiPriority w:val="34"/>
    <w:qFormat/>
    <w:rsid w:val="004361B1"/>
    <w:pPr>
      <w:ind w:left="720"/>
      <w:contextualSpacing/>
    </w:pPr>
  </w:style>
  <w:style w:type="character" w:styleId="Hyperlink">
    <w:name w:val="Hyperlink"/>
    <w:basedOn w:val="DefaultParagraphFon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basedOn w:val="DefaultParagraphFont"/>
    <w:uiPriority w:val="22"/>
    <w:qFormat/>
    <w:rsid w:val="004361B1"/>
    <w:rPr>
      <w:b/>
      <w:bCs/>
    </w:rPr>
  </w:style>
  <w:style w:type="character" w:styleId="FollowedHyperlink">
    <w:name w:val="FollowedHyperlink"/>
    <w:basedOn w:val="DefaultParagraphFont"/>
    <w:uiPriority w:val="99"/>
    <w:semiHidden/>
    <w:unhideWhenUsed/>
    <w:rsid w:val="008F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395">
      <w:bodyDiv w:val="1"/>
      <w:marLeft w:val="0"/>
      <w:marRight w:val="0"/>
      <w:marTop w:val="0"/>
      <w:marBottom w:val="0"/>
      <w:divBdr>
        <w:top w:val="none" w:sz="0" w:space="0" w:color="auto"/>
        <w:left w:val="none" w:sz="0" w:space="0" w:color="auto"/>
        <w:bottom w:val="none" w:sz="0" w:space="0" w:color="auto"/>
        <w:right w:val="none" w:sz="0" w:space="0" w:color="auto"/>
      </w:divBdr>
    </w:div>
    <w:div w:id="104034657">
      <w:bodyDiv w:val="1"/>
      <w:marLeft w:val="0"/>
      <w:marRight w:val="0"/>
      <w:marTop w:val="0"/>
      <w:marBottom w:val="0"/>
      <w:divBdr>
        <w:top w:val="none" w:sz="0" w:space="0" w:color="auto"/>
        <w:left w:val="none" w:sz="0" w:space="0" w:color="auto"/>
        <w:bottom w:val="none" w:sz="0" w:space="0" w:color="auto"/>
        <w:right w:val="none" w:sz="0" w:space="0" w:color="auto"/>
      </w:divBdr>
    </w:div>
    <w:div w:id="285741320">
      <w:bodyDiv w:val="1"/>
      <w:marLeft w:val="0"/>
      <w:marRight w:val="0"/>
      <w:marTop w:val="0"/>
      <w:marBottom w:val="0"/>
      <w:divBdr>
        <w:top w:val="none" w:sz="0" w:space="0" w:color="auto"/>
        <w:left w:val="none" w:sz="0" w:space="0" w:color="auto"/>
        <w:bottom w:val="none" w:sz="0" w:space="0" w:color="auto"/>
        <w:right w:val="none" w:sz="0" w:space="0" w:color="auto"/>
      </w:divBdr>
    </w:div>
    <w:div w:id="6763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gendas/icann62-panama-city-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ic.ptbl.co/static/attachments/169285/1520888837.pdf?1520888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Tom Dale</cp:lastModifiedBy>
  <cp:revision>4</cp:revision>
  <dcterms:created xsi:type="dcterms:W3CDTF">2018-06-06T23:41:00Z</dcterms:created>
  <dcterms:modified xsi:type="dcterms:W3CDTF">2018-06-14T01:34:00Z</dcterms:modified>
</cp:coreProperties>
</file>